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8" w:before="0" w:line="564" w:lineRule="exact"/>
        <w:jc w:val="left"/>
        <w:pBdr>
          <w:bottom w:val="single" w:sz="12" w:space="0" w:color="141414"/>
        </w:pBdr>
      </w:pPr>
      <w:r>
        <w:rPr>
          <w:rFonts w:ascii="Yu Gothic" w:hAnsi="Yu Gothic" w:eastAsia="Yu Gothic"/>
          <w:b/>
          <w:color w:val="141414"/>
          <w:sz w:val="40"/>
        </w:rPr>
        <w:t>現金出納帳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事業所：【株式会社やっとくん】 本社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対象月：【2026 年 8 月】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記帳者：【山田 太郎】</w:t>
      </w:r>
    </w:p>
    <w:p>
      <w:pPr>
        <w:spacing w:after="0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前月繰越：【152,340 円】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1474"/>
        <w:gridCol w:w="1928"/>
        <w:gridCol w:w="4932"/>
        <w:gridCol w:w="2041"/>
        <w:gridCol w:w="2041"/>
        <w:gridCol w:w="2268"/>
      </w:tblGrid>
      <w:tr>
        <w:trPr>
          <w:trHeight w:val="435" w:hRule="exact"/>
        </w:trPr>
        <w:tc>
          <w:tcPr>
            <w:tcW w:type="dxa" w:w="1474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日付</w:t>
            </w:r>
          </w:p>
        </w:tc>
        <w:tc>
          <w:tcPr>
            <w:tcW w:type="dxa" w:w="1928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科目</w:t>
            </w:r>
          </w:p>
        </w:tc>
        <w:tc>
          <w:tcPr>
            <w:tcW w:type="dxa" w:w="4932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摘要</w:t>
            </w:r>
          </w:p>
        </w:tc>
        <w:tc>
          <w:tcPr>
            <w:tcW w:type="dxa" w:w="204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収入金額</w:t>
            </w:r>
          </w:p>
        </w:tc>
        <w:tc>
          <w:tcPr>
            <w:tcW w:type="dxa" w:w="204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支出金額</w:t>
            </w:r>
          </w:p>
        </w:tc>
        <w:tc>
          <w:tcPr>
            <w:tcW w:type="dxa" w:w="2268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差引残高</w:t>
            </w:r>
          </w:p>
        </w:tc>
      </w:tr>
      <w:tr>
        <w:trPr>
          <w:trHeight w:val="384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8/1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繰越</w:t>
            </w:r>
          </w:p>
        </w:tc>
        <w:tc>
          <w:tcPr>
            <w:tcW w:type="dxa" w:w="493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前月繰越</w:t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¥152,340</w:t>
            </w:r>
          </w:p>
        </w:tc>
      </w:tr>
      <w:tr>
        <w:trPr>
          <w:trHeight w:val="384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8/3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消耗品費</w:t>
            </w:r>
          </w:p>
        </w:tc>
        <w:tc>
          <w:tcPr>
            <w:tcW w:type="dxa" w:w="493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事務用品（文具・コピー用紙）</w:t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¥1,780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¥150,560</w:t>
            </w:r>
          </w:p>
        </w:tc>
      </w:tr>
      <w:tr>
        <w:trPr>
          <w:trHeight w:val="384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8/5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売上</w:t>
            </w:r>
          </w:p>
        </w:tc>
        <w:tc>
          <w:tcPr>
            <w:tcW w:type="dxa" w:w="493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現金売上（8/4 分）</w:t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¥38,500</w:t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¥189,060</w:t>
            </w:r>
          </w:p>
        </w:tc>
      </w:tr>
      <w:tr>
        <w:trPr>
          <w:trHeight w:val="384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8/8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旅費交通費</w:t>
            </w:r>
          </w:p>
        </w:tc>
        <w:tc>
          <w:tcPr>
            <w:tcW w:type="dxa" w:w="493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バス回数券</w:t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¥2,200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¥186,860</w:t>
            </w:r>
          </w:p>
        </w:tc>
      </w:tr>
      <w:tr>
        <w:trPr>
          <w:trHeight w:val="384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8/12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通信費</w:t>
            </w:r>
          </w:p>
        </w:tc>
        <w:tc>
          <w:tcPr>
            <w:tcW w:type="dxa" w:w="493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切手・レターパック</w:t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¥1,940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¥184,920</w:t>
            </w:r>
          </w:p>
        </w:tc>
      </w:tr>
      <w:tr>
        <w:trPr>
          <w:trHeight w:val="384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8/15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売上</w:t>
            </w:r>
          </w:p>
        </w:tc>
        <w:tc>
          <w:tcPr>
            <w:tcW w:type="dxa" w:w="493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現金売上（8/14 分）</w:t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¥42,300</w:t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¥227,220</w:t>
            </w:r>
          </w:p>
        </w:tc>
      </w:tr>
      <w:tr>
        <w:trPr>
          <w:trHeight w:val="384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8/19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雑費</w:t>
            </w:r>
          </w:p>
        </w:tc>
        <w:tc>
          <w:tcPr>
            <w:tcW w:type="dxa" w:w="493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ごみ処理券</w:t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¥800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¥226,420</w:t>
            </w:r>
          </w:p>
        </w:tc>
      </w:tr>
      <w:tr>
        <w:trPr>
          <w:trHeight w:val="384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8/25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預け入れ</w:t>
            </w:r>
          </w:p>
        </w:tc>
        <w:tc>
          <w:tcPr>
            <w:tcW w:type="dxa" w:w="493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普通預金へ預け入れ</w:t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¥180,000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¥46,420</w:t>
            </w:r>
          </w:p>
        </w:tc>
      </w:tr>
      <w:tr>
        <w:trPr>
          <w:trHeight w:val="384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8/29</w:t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消耗品費</w:t>
            </w:r>
          </w:p>
        </w:tc>
        <w:tc>
          <w:tcPr>
            <w:tcW w:type="dxa" w:w="493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電池・清掃用品</w:t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¥1,230</w:t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¥45,190</w:t>
            </w:r>
          </w:p>
        </w:tc>
      </w:tr>
      <w:tr>
        <w:trPr>
          <w:trHeight w:val="384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493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493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493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493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493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  <w:tr>
        <w:trPr>
          <w:trHeight w:val="384" w:hRule="exact"/>
        </w:trPr>
        <w:tc>
          <w:tcPr>
            <w:tcW w:type="dxa" w:w="1474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192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4932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04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  <w:tc>
          <w:tcPr>
            <w:tcW w:type="dxa" w:w="2268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3402"/>
        <w:gridCol w:w="4932"/>
        <w:gridCol w:w="2041"/>
        <w:gridCol w:w="2041"/>
        <w:gridCol w:w="2268"/>
      </w:tblGrid>
      <w:tr>
        <w:trPr>
          <w:trHeight w:val="384" w:hRule="exact"/>
        </w:trPr>
        <w:tc>
          <w:tcPr>
            <w:tcW w:type="dxa" w:w="3402"/>
          </w:tcPr>
          <w:p>
            <w:pPr>
              <w:spacing w:after="0" w:before="0" w:line="217" w:lineRule="auto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17"/>
              </w:rPr>
            </w:r>
          </w:p>
        </w:tc>
        <w:tc>
          <w:tcPr>
            <w:tcW w:type="dxa" w:w="4932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記載行数</w:t>
            </w:r>
          </w:p>
        </w:tc>
        <w:tc>
          <w:tcPr>
            <w:tcW w:type="dxa" w:w="2041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  <w:t>9 行</w:t>
            </w:r>
          </w:p>
        </w:tc>
        <w:tc>
          <w:tcPr>
            <w:tcW w:type="dxa" w:w="2041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</w:r>
          </w:p>
        </w:tc>
        <w:tc>
          <w:tcPr>
            <w:tcW w:type="dxa" w:w="2268"/>
            <w:tcBorders>
              <w:top w:val="single" w:sz="4" w:color="B9B9B0"/>
              <w:left w:val="single" w:sz="4" w:color="B9B9B0"/>
              <w:bottom w:val="single" w:sz="12" w:color="141414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right"/>
            </w:pPr>
            <w:r>
              <w:rPr>
                <w:rFonts w:ascii="Yu Gothic" w:hAnsi="Yu Gothic" w:eastAsia="Yu Gothic"/>
                <w:b/>
                <w:color w:val="141414"/>
                <w:sz w:val="20"/>
              </w:rPr>
            </w:r>
          </w:p>
        </w:tc>
      </w:tr>
    </w:tbl>
    <w:p>
      <w:pPr>
        <w:spacing w:after="90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一般的な様式です。差引残高は「前の行の残高 + 収入金額 − 支出金額」で記入し、月末に実際の現金有高と照合してください。</w:t>
      </w:r>
    </w:p>
    <w:sectPr w:rsidR="00FC693F" w:rsidRPr="0006063C" w:rsidSect="00034616">
      <w:pgSz w:w="16838" w:h="11906" w:orient="landscape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