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24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yamada@example.com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「電子帳簿保存法 実務対応」研修 受講報告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研修の概要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8 月 21 日、外部研修「電子帳簿保存法 実務対応」を管理部 2 名で受講しました。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内容は、電子取引データの保存要件と、検索要件を満たす運用方法の 2 部構成です。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学んだこと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検索要件は、取引年月日・取引金額・取引先の 3 項目で足りると確認できました。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ファイル名に 3 項目を入れる方法でも要件を満たせるため、専用システムは必須ではありません。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訂正・削除の履歴が残らない保存先は不可で、共有フォルダの運用に見直しが要ります。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業務への活かし方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電子取引データの命名規則を定め、9 月中に管理部内の手順書へ反映します。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保存先を履歴が残るフォルダへ移し、10 月の受領分から新しい運用に切り替えます。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受講日（オンライン開催）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 月 21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受講時間（休憩を除く）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6.0 時間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受講料（1 名あたり 11,000 円）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22,000 円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受講人数（管理部）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 名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配布資料と修了証は共有フォルダの研修記録に保存しています。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【テンプレート注記・配布物では削除可】一般的な様式です。受講料の負担区分・報告の期限・修了証の提出要否は各社の規程に従ってください。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