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before="0" w:line="240" w:lineRule="auto"/>
        <w:jc w:val="left"/>
        <w:pBdr>
          <w:bottom w:val="single" w:sz="12" w:space="0" w:color="141414"/>
        </w:pBdr>
      </w:pPr>
      <w:r>
        <w:rPr>
          <w:rFonts w:ascii="Yu Gothic" w:hAnsi="Yu Gothic" w:eastAsia="Yu Gothic"/>
          <w:b/>
          <w:color w:val="141414"/>
          <w:sz w:val="40"/>
        </w:rPr>
        <w:t>車両管理台帳</w:t>
      </w:r>
    </w:p>
    <w:p>
      <w:pPr>
        <w:spacing w:after="0" w:before="0" w:line="240" w:lineRule="auto"/>
        <w:jc w:val="right"/>
      </w:pPr>
      <w:r>
        <w:rPr>
          <w:rFonts w:ascii="Yu Gothic" w:hAnsi="Yu Gothic" w:eastAsia="Yu Gothic"/>
          <w:b w:val="0"/>
          <w:color w:val="5A5A54"/>
          <w:sz w:val="17"/>
        </w:rPr>
        <w:t>管理拠点：本社</w:t>
      </w:r>
    </w:p>
    <w:p>
      <w:pPr>
        <w:spacing w:after="0" w:before="0" w:line="240" w:lineRule="auto"/>
        <w:jc w:val="right"/>
      </w:pPr>
      <w:r>
        <w:rPr>
          <w:rFonts w:ascii="Yu Gothic" w:hAnsi="Yu Gothic" w:eastAsia="Yu Gothic"/>
          <w:b w:val="0"/>
          <w:color w:val="5A5A54"/>
          <w:sz w:val="17"/>
        </w:rPr>
        <w:t>作成日：2026 年 8 月 25 日</w:t>
      </w:r>
    </w:p>
    <w:p>
      <w:pPr>
        <w:spacing w:after="0" w:before="0" w:line="240" w:lineRule="auto"/>
        <w:jc w:val="right"/>
      </w:pPr>
      <w:r>
        <w:rPr>
          <w:rFonts w:ascii="Yu Gothic" w:hAnsi="Yu Gothic" w:eastAsia="Yu Gothic"/>
          <w:b w:val="0"/>
          <w:color w:val="5A5A54"/>
          <w:sz w:val="17"/>
        </w:rPr>
        <w:t>管理者：田中 健</w:t>
      </w:r>
    </w:p>
    <w:p>
      <w:pPr>
        <w:spacing w:after="8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1247"/>
        <w:gridCol w:w="1701"/>
        <w:gridCol w:w="2041"/>
        <w:gridCol w:w="1247"/>
        <w:gridCol w:w="737"/>
        <w:gridCol w:w="1531"/>
        <w:gridCol w:w="1644"/>
        <w:gridCol w:w="1361"/>
        <w:gridCol w:w="1247"/>
        <w:gridCol w:w="1928"/>
      </w:tblGrid>
      <w:tr>
        <w:trPr>
          <w:trHeight w:val="482" w:hRule="exact"/>
        </w:trPr>
        <w:tc>
          <w:tcPr>
            <w:tcW w:type="dxa" w:w="124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車両番号</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車種</w:t>
            </w:r>
          </w:p>
        </w:tc>
        <w:tc>
          <w:tcPr>
            <w:tcW w:type="dxa" w:w="204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ナンバー</w:t>
            </w:r>
          </w:p>
        </w:tc>
        <w:tc>
          <w:tcPr>
            <w:tcW w:type="dxa" w:w="124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取得日</w:t>
            </w:r>
          </w:p>
        </w:tc>
        <w:tc>
          <w:tcPr>
            <w:tcW w:type="dxa" w:w="73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台数</w:t>
            </w:r>
          </w:p>
        </w:tc>
        <w:tc>
          <w:tcPr>
            <w:tcW w:type="dxa" w:w="153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取得単価</w:t>
            </w:r>
          </w:p>
        </w:tc>
        <w:tc>
          <w:tcPr>
            <w:tcW w:type="dxa" w:w="164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取得価額</w:t>
            </w:r>
          </w:p>
        </w:tc>
        <w:tc>
          <w:tcPr>
            <w:tcW w:type="dxa" w:w="136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車検満了日</w:t>
            </w:r>
          </w:p>
        </w:tc>
        <w:tc>
          <w:tcPr>
            <w:tcW w:type="dxa" w:w="124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使用者</w:t>
            </w:r>
          </w:p>
        </w:tc>
        <w:tc>
          <w:tcPr>
            <w:tcW w:type="dxa" w:w="1928"/>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備考</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CAR-001</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ハイエース</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品川 300 あ 12-34</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2022/03/18</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¥3,280,000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¥3,280,000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2027/03/17</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田中 健</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任意保険 更新済</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CAR-002</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プロボックス</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横浜 400 か 56-78</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2021/09/06</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¥1,780,000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¥1,780,000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2026/09/05</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鈴木 一郎</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車検 手配中</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CAR-003</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軽トラック</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大宮 480 さ 90-12</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2023/05/22</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¥1,120,000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¥2,240,000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2027/05/21</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店舗共用</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配送用</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CAR-004</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セレナ</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川口 300 な 34-56</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2020/11/13</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¥2,960,000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¥2,960,000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2026/11/12</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山田 太郎</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冬タイヤ 保管中</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CAR-005</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ハイゼット</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練馬 480 た 78-90</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2024/02/09</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¥1,340,000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¥1,340,000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2028/02/08</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伊藤 彩</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CAR-006</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フォークリフト</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構内専用</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2019/07/25</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¥2,450,000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¥2,450,000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2027/07/24</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店舗共用</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構内のみ使用</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CAR-007</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アルファード</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千葉 300 は 11-22</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2025/04/03</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¥4,980,000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¥4,980,000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2028/04/02</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佐藤 花子</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リース車両</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CAR-008</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キャラバン</w:t>
            </w:r>
          </w:p>
        </w:tc>
        <w:tc>
          <w:tcPr>
            <w:tcW w:type="dxa" w:w="204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足立 400 ま 33-44</w:t>
            </w:r>
          </w:p>
        </w:tc>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2018/06/15</w:t>
            </w:r>
          </w:p>
        </w:tc>
        <w:tc>
          <w:tcPr>
            <w:tcW w:type="dxa" w:w="737"/>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153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¥2,680,000</w:t>
            </w:r>
          </w:p>
        </w:tc>
        <w:tc>
          <w:tcPr>
            <w:tcW w:type="dxa" w:w="164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¥2,680,000</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2026/06/14</w:t>
            </w:r>
          </w:p>
        </w:tc>
        <w:tc>
          <w:tcPr>
            <w:tcW w:type="dxa" w:w="1247"/>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渡辺 大輔</w:t>
            </w:r>
          </w:p>
        </w:tc>
        <w:tc>
          <w:tcPr>
            <w:tcW w:type="dxa" w:w="192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売却予定</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041"/>
            <w:tcBorders>
              <w:left w:val="single" w:sz="4" w:color="B9B9B0"/>
              <w:bottom w:val="single" w:sz="4" w:color="B9B9B0"/>
              <w:right w:val="single" w:sz="4" w:color="B9B9B0"/>
            </w:tcBorders>
          </w:tcPr>
          <w:p>
            <w:pPr>
              <w:spacing w:after="24" w:before="24" w:line="240" w:lineRule="auto"/>
              <w:ind w:left="57" w:right="57"/>
              <w:jc w:val="left"/>
            </w:pPr>
          </w:p>
        </w:tc>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737"/>
            <w:tcBorders>
              <w:left w:val="single" w:sz="4" w:color="B9B9B0"/>
              <w:bottom w:val="single" w:sz="4" w:color="B9B9B0"/>
              <w:right w:val="single" w:sz="4" w:color="B9B9B0"/>
            </w:tcBorders>
          </w:tcPr>
          <w:p>
            <w:pPr>
              <w:spacing w:after="24" w:before="24" w:line="240" w:lineRule="auto"/>
              <w:ind w:left="57" w:right="57"/>
              <w:jc w:val="right"/>
            </w:pPr>
          </w:p>
        </w:tc>
        <w:tc>
          <w:tcPr>
            <w:tcW w:type="dxa" w:w="1531"/>
            <w:tcBorders>
              <w:left w:val="single" w:sz="4" w:color="B9B9B0"/>
              <w:bottom w:val="single" w:sz="4" w:color="B9B9B0"/>
              <w:right w:val="single" w:sz="4" w:color="B9B9B0"/>
            </w:tcBorders>
          </w:tcPr>
          <w:p>
            <w:pPr>
              <w:spacing w:after="24" w:before="24" w:line="240" w:lineRule="auto"/>
              <w:ind w:left="57" w:right="57"/>
              <w:jc w:val="right"/>
            </w:pPr>
          </w:p>
        </w:tc>
        <w:tc>
          <w:tcPr>
            <w:tcW w:type="dxa" w:w="1644"/>
            <w:tcBorders>
              <w:left w:val="single" w:sz="4" w:color="B9B9B0"/>
              <w:bottom w:val="single" w:sz="4" w:color="B9B9B0"/>
              <w:right w:val="single" w:sz="4" w:color="B9B9B0"/>
            </w:tcBorders>
          </w:tcPr>
          <w:p>
            <w:pPr>
              <w:spacing w:after="24" w:before="24" w:line="240" w:lineRule="auto"/>
              <w:ind w:left="57" w:right="57"/>
              <w:jc w:val="righ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1247"/>
            <w:tcBorders>
              <w:left w:val="single" w:sz="4" w:color="B9B9B0"/>
              <w:bottom w:val="single" w:sz="4" w:color="B9B9B0"/>
              <w:right w:val="single" w:sz="4" w:color="B9B9B0"/>
            </w:tcBorders>
          </w:tcPr>
          <w:p>
            <w:pPr>
              <w:spacing w:after="24" w:before="24" w:line="240" w:lineRule="auto"/>
              <w:ind w:left="57" w:right="57"/>
              <w:jc w:val="left"/>
            </w:pPr>
          </w:p>
        </w:tc>
        <w:tc>
          <w:tcPr>
            <w:tcW w:type="dxa" w:w="1928"/>
            <w:tcBorders>
              <w:left w:val="single" w:sz="4" w:color="B9B9B0"/>
              <w:bottom w:val="single" w:sz="4" w:color="B9B9B0"/>
              <w:right w:val="single" w:sz="4" w:color="B9B9B0"/>
            </w:tcBorders>
          </w:tcPr>
          <w:p>
            <w:pPr>
              <w:spacing w:after="24" w:before="24" w:line="240" w:lineRule="auto"/>
              <w:ind w:left="57" w:right="57"/>
              <w:jc w:val="left"/>
            </w:pPr>
          </w:p>
        </w:tc>
      </w:tr>
    </w:tbl>
    <w:tbl>
      <w:tblPr>
        <w:tblW w:type="auto" w:w="0"/>
        <w:tblLayout w:type="fixed"/>
        <w:tblLook w:firstColumn="1" w:firstRow="1" w:lastColumn="0" w:lastRow="0" w:noHBand="0" w:noVBand="1" w:val="04A0"/>
        <w:tblInd w:w="0" w:type="dxa"/>
        <w:tblCellMar>
          <w:left w:w="0" w:type="dxa"/>
          <w:right w:w="0" w:type="dxa"/>
        </w:tblCellMar>
      </w:tblPr>
      <w:tblGrid>
        <w:gridCol w:w="8504"/>
        <w:gridCol w:w="1644"/>
        <w:gridCol w:w="1361"/>
        <w:gridCol w:w="1247"/>
        <w:gridCol w:w="1928"/>
      </w:tblGrid>
      <w:tr>
        <w:trPr>
          <w:trHeight w:val="425" w:hRule="exact"/>
        </w:trPr>
        <w:tc>
          <w:tcPr>
            <w:tcW w:type="dxa" w:w="8504"/>
          </w:tcPr>
          <w:p>
            <w:pPr>
              <w:spacing w:after="0" w:before="0" w:line="240" w:lineRule="auto"/>
              <w:jc w:val="left"/>
            </w:pPr>
          </w:p>
        </w:tc>
        <w:tc>
          <w:tcPr>
            <w:tcW w:type="dxa" w:w="1644"/>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登録台数</w:t>
            </w:r>
          </w:p>
        </w:tc>
        <w:tc>
          <w:tcPr>
            <w:tcW w:type="dxa" w:w="1361"/>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8 件</w:t>
            </w:r>
          </w:p>
        </w:tc>
        <w:tc>
          <w:tcPr>
            <w:tcW w:type="dxa" w:w="1247"/>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取得価額</w:t>
            </w:r>
          </w:p>
        </w:tc>
        <w:tc>
          <w:tcPr>
            <w:tcW w:type="dxa" w:w="1928"/>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¥21,710,000</w:t>
            </w:r>
          </w:p>
        </w:tc>
      </w:tr>
    </w:tbl>
    <w:p>
      <w:pPr>
        <w:spacing w:after="10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車検満了日・任意保険の更新期日は必ず車検証と保険証券の原本で照合してください。減価償却の耐用年数と償却方法は各社の会計方針をご確認ください。</w:t>
      </w:r>
    </w:p>
    <w:sectPr w:rsidR="00FC693F" w:rsidRPr="0006063C" w:rsidSect="00034616">
      <w:pgSz w:w="16838" w:h="11906" w:orient="landscape"/>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