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before="0" w:line="240" w:lineRule="auto"/>
        <w:jc w:val="right"/>
      </w:pPr>
      <w:r>
        <w:rPr>
          <w:rFonts w:ascii="Yu Gothic" w:hAnsi="Yu Gothic" w:eastAsia="Yu Gothic"/>
          <w:b w:val="0"/>
          <w:color w:val="5A5A54"/>
          <w:sz w:val="17"/>
        </w:rPr>
        <w:t>2026 年 8 月 24 日</w:t>
      </w:r>
    </w:p>
    <w:p>
      <w:pPr>
        <w:spacing w:after="120" w:before="0" w:line="240" w:lineRule="auto"/>
        <w:jc w:val="left"/>
      </w:pPr>
      <w:r>
        <w:rPr>
          <w:rFonts w:ascii="Yu Gothic" w:hAnsi="Yu Gothic" w:eastAsia="Yu Gothic"/>
          <w:b/>
          <w:color w:val="141414"/>
          <w:sz w:val="28"/>
        </w:rPr>
        <w:t>管理部長　殿</w:t>
      </w:r>
    </w:p>
    <w:p>
      <w:pPr>
        <w:spacing w:after="20" w:before="0" w:line="240" w:lineRule="auto"/>
        <w:jc w:val="right"/>
      </w:pPr>
      <w:r>
        <w:rPr>
          <w:rFonts w:ascii="Yu Gothic" w:hAnsi="Yu Gothic" w:eastAsia="Yu Gothic"/>
          <w:b/>
          <w:color w:val="141414"/>
          <w:sz w:val="20"/>
        </w:rPr>
        <w:t>管理部　山田 太郎</w:t>
      </w:r>
    </w:p>
    <w:p>
      <w:pPr>
        <w:spacing w:after="0" w:before="0" w:line="240" w:lineRule="auto"/>
        <w:jc w:val="right"/>
      </w:pPr>
      <w:r>
        <w:rPr>
          <w:rFonts w:ascii="Yu Gothic" w:hAnsi="Yu Gothic" w:eastAsia="Yu Gothic"/>
          <w:b w:val="0"/>
          <w:color w:val="5A5A54"/>
          <w:sz w:val="17"/>
        </w:rPr>
        <w:t>内線 1234</w:t>
      </w:r>
    </w:p>
    <w:p>
      <w:pPr>
        <w:spacing w:after="0" w:before="0" w:line="240" w:lineRule="auto"/>
        <w:jc w:val="right"/>
      </w:pPr>
      <w:r>
        <w:rPr>
          <w:rFonts w:ascii="Yu Gothic" w:hAnsi="Yu Gothic" w:eastAsia="Yu Gothic"/>
          <w:b w:val="0"/>
          <w:color w:val="5A5A54"/>
          <w:sz w:val="17"/>
        </w:rPr>
        <w:t>yamada@example.com</w:t>
      </w:r>
    </w:p>
    <w:p>
      <w:pPr>
        <w:spacing w:after="120" w:before="0" w:line="240" w:lineRule="auto"/>
        <w:jc w:val="left"/>
      </w:pPr>
    </w:p>
    <w:p>
      <w:pPr>
        <w:spacing w:after="200" w:before="0" w:line="240" w:lineRule="auto"/>
        <w:jc w:val="center"/>
      </w:pPr>
      <w:r>
        <w:rPr>
          <w:rFonts w:ascii="Yu Gothic" w:hAnsi="Yu Gothic" w:eastAsia="Yu Gothic"/>
          <w:b/>
          <w:color w:val="141414"/>
          <w:sz w:val="28"/>
        </w:rPr>
        <w:t>給与振込データの二重送信に関する顛末書</w:t>
      </w:r>
    </w:p>
    <w:p>
      <w:pPr>
        <w:spacing w:after="80" w:before="0" w:line="240" w:lineRule="auto"/>
        <w:jc w:val="left"/>
      </w:pPr>
      <w:r>
        <w:rPr>
          <w:rFonts w:ascii="Yu Gothic" w:hAnsi="Yu Gothic" w:eastAsia="Yu Gothic"/>
          <w:b/>
          <w:color w:val="141414"/>
          <w:sz w:val="20"/>
        </w:rPr>
        <w:t>1. 発生した事象</w:t>
      </w:r>
    </w:p>
    <w:p>
      <w:pPr>
        <w:spacing w:after="80" w:before="0" w:line="240" w:lineRule="auto"/>
        <w:jc w:val="left"/>
      </w:pPr>
      <w:r>
        <w:rPr>
          <w:rFonts w:ascii="Yu Gothic" w:hAnsi="Yu Gothic" w:eastAsia="Yu Gothic"/>
          <w:b w:val="0"/>
          <w:color w:val="141414"/>
          <w:sz w:val="20"/>
        </w:rPr>
        <w:t>8 月 21 日 10 時 15 分、7 月分の給与振込データを銀行へ二重に送信しました。</w:t>
      </w:r>
    </w:p>
    <w:p>
      <w:pPr>
        <w:spacing w:after="80" w:before="0" w:line="240" w:lineRule="auto"/>
        <w:jc w:val="left"/>
      </w:pPr>
      <w:r>
        <w:rPr>
          <w:rFonts w:ascii="Yu Gothic" w:hAnsi="Yu Gothic" w:eastAsia="Yu Gothic"/>
          <w:b w:val="0"/>
          <w:color w:val="141414"/>
          <w:sz w:val="20"/>
        </w:rPr>
        <w:t>対象は 3 名分、金額は合計 782,400 円です。</w:t>
      </w:r>
    </w:p>
    <w:p>
      <w:pPr>
        <w:spacing w:after="80" w:before="0" w:line="240" w:lineRule="auto"/>
        <w:jc w:val="left"/>
      </w:pPr>
      <w:r>
        <w:rPr>
          <w:rFonts w:ascii="Yu Gothic" w:hAnsi="Yu Gothic" w:eastAsia="Yu Gothic"/>
          <w:b/>
          <w:color w:val="141414"/>
          <w:sz w:val="20"/>
        </w:rPr>
        <w:t>2. 原因</w:t>
      </w:r>
    </w:p>
    <w:p>
      <w:pPr>
        <w:spacing w:after="80" w:before="0" w:line="240" w:lineRule="auto"/>
        <w:jc w:val="left"/>
      </w:pPr>
      <w:r>
        <w:rPr>
          <w:rFonts w:ascii="Yu Gothic" w:hAnsi="Yu Gothic" w:eastAsia="Yu Gothic"/>
          <w:b w:val="0"/>
          <w:color w:val="141414"/>
          <w:sz w:val="20"/>
        </w:rPr>
        <w:t>送信の完了を確認する手順が無く、送信済みかどうかを画面の表示だけで判断していました。</w:t>
      </w:r>
    </w:p>
    <w:p>
      <w:pPr>
        <w:spacing w:after="80" w:before="0" w:line="240" w:lineRule="auto"/>
        <w:jc w:val="left"/>
      </w:pPr>
      <w:r>
        <w:rPr>
          <w:rFonts w:ascii="Yu Gothic" w:hAnsi="Yu Gothic" w:eastAsia="Yu Gothic"/>
          <w:b w:val="0"/>
          <w:color w:val="141414"/>
          <w:sz w:val="20"/>
        </w:rPr>
        <w:t>また、送信の記録を残す欄が作業手順書に無く、誰が送信したかを後から確認できませんでした。</w:t>
      </w:r>
    </w:p>
    <w:p>
      <w:pPr>
        <w:spacing w:after="80" w:before="0" w:line="240" w:lineRule="auto"/>
        <w:jc w:val="left"/>
      </w:pPr>
      <w:r>
        <w:rPr>
          <w:rFonts w:ascii="Yu Gothic" w:hAnsi="Yu Gothic" w:eastAsia="Yu Gothic"/>
          <w:b w:val="0"/>
          <w:color w:val="141414"/>
          <w:sz w:val="20"/>
        </w:rPr>
        <w:t>通信が一時的に遅れた際に、未送信と読み取れる表示のまま再送できる状態でした。</w:t>
      </w:r>
    </w:p>
    <w:p>
      <w:pPr>
        <w:spacing w:after="80" w:before="0" w:line="240" w:lineRule="auto"/>
        <w:jc w:val="left"/>
      </w:pPr>
      <w:r>
        <w:rPr>
          <w:rFonts w:ascii="Yu Gothic" w:hAnsi="Yu Gothic" w:eastAsia="Yu Gothic"/>
          <w:b/>
          <w:color w:val="141414"/>
          <w:sz w:val="20"/>
        </w:rPr>
        <w:t>3. 実施した対応</w:t>
      </w:r>
    </w:p>
    <w:p>
      <w:pPr>
        <w:spacing w:after="80" w:before="0" w:line="240" w:lineRule="auto"/>
        <w:jc w:val="left"/>
      </w:pPr>
      <w:r>
        <w:rPr>
          <w:rFonts w:ascii="Yu Gothic" w:hAnsi="Yu Gothic" w:eastAsia="Yu Gothic"/>
          <w:b w:val="0"/>
          <w:color w:val="141414"/>
          <w:sz w:val="20"/>
        </w:rPr>
        <w:t>同日 11 時 40 分に銀行へ連絡し、組戻しの手続きを依頼しました。</w:t>
      </w:r>
    </w:p>
    <w:p>
      <w:pPr>
        <w:spacing w:after="80" w:before="0" w:line="240" w:lineRule="auto"/>
        <w:jc w:val="left"/>
      </w:pPr>
      <w:r>
        <w:rPr>
          <w:rFonts w:ascii="Yu Gothic" w:hAnsi="Yu Gothic" w:eastAsia="Yu Gothic"/>
          <w:b w:val="0"/>
          <w:color w:val="141414"/>
          <w:sz w:val="20"/>
        </w:rPr>
        <w:t>対象の 3 名には当日中に経緯を説明し、了承をいただいています。</w:t>
      </w:r>
    </w:p>
    <w:p>
      <w:pPr>
        <w:spacing w:after="80" w:before="0" w:line="240" w:lineRule="auto"/>
        <w:jc w:val="left"/>
      </w:pPr>
      <w:r>
        <w:rPr>
          <w:rFonts w:ascii="Yu Gothic" w:hAnsi="Yu Gothic" w:eastAsia="Yu Gothic"/>
          <w:b/>
          <w:color w:val="141414"/>
          <w:sz w:val="20"/>
        </w:rPr>
        <w:t>4. 再発防止策</w:t>
      </w:r>
    </w:p>
    <w:p>
      <w:pPr>
        <w:spacing w:after="80" w:before="0" w:line="240" w:lineRule="auto"/>
        <w:jc w:val="left"/>
      </w:pPr>
      <w:r>
        <w:rPr>
          <w:rFonts w:ascii="Yu Gothic" w:hAnsi="Yu Gothic" w:eastAsia="Yu Gothic"/>
          <w:b w:val="0"/>
          <w:color w:val="141414"/>
          <w:sz w:val="20"/>
        </w:rPr>
        <w:t>送信の直前に、銀行側の送信履歴で当月分の有無を確認する手順を追加します。</w:t>
      </w:r>
    </w:p>
    <w:p>
      <w:pPr>
        <w:spacing w:after="40" w:before="0" w:line="240" w:lineRule="auto"/>
        <w:jc w:val="left"/>
      </w:pPr>
    </w:p>
    <w:p>
      <w:pPr>
        <w:spacing w:after="160" w:before="0" w:line="240" w:lineRule="auto"/>
        <w:jc w:val="center"/>
      </w:pPr>
      <w:r>
        <w:rPr>
          <w:rFonts w:ascii="Yu Gothic" w:hAnsi="Yu Gothic" w:eastAsia="Yu Gothic"/>
          <w:b/>
          <w:color w:val="141414"/>
          <w:sz w:val="28"/>
        </w:rPr>
        <w:t>記</w:t>
      </w:r>
    </w:p>
    <w:tbl>
      <w:tblPr>
        <w:tblW w:type="auto" w:w="0"/>
        <w:tblLayout w:type="fixed"/>
        <w:tblLook w:firstColumn="1" w:firstRow="1" w:lastColumn="0" w:lastRow="0" w:noHBand="0" w:noVBand="1" w:val="04A0"/>
        <w:tblInd w:w="0" w:type="dxa"/>
        <w:tblCellMar>
          <w:left w:w="0" w:type="dxa"/>
          <w:right w:w="0" w:type="dxa"/>
        </w:tblCellMar>
      </w:tblPr>
      <w:tblGrid>
        <w:gridCol w:w="7370"/>
        <w:gridCol w:w="2381"/>
      </w:tblGrid>
      <w:tr>
        <w:trPr>
          <w:trHeight w:val="482" w:hRule="exact"/>
        </w:trPr>
        <w:tc>
          <w:tcPr>
            <w:tcW w:type="dxa" w:w="7370"/>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項目</w:t>
            </w:r>
          </w:p>
        </w:tc>
        <w:tc>
          <w:tcPr>
            <w:tcW w:type="dxa" w:w="238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内容</w:t>
            </w:r>
          </w:p>
        </w:tc>
      </w:tr>
      <w:tr>
        <w:trPr>
          <w:trHeight w:val="425" w:hRule="exact"/>
        </w:trPr>
        <w:tc>
          <w:tcPr>
            <w:tcW w:type="dxa" w:w="7370"/>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1. 発生日時（二重送信の実行時刻）</w:t>
            </w:r>
          </w:p>
        </w:tc>
        <w:tc>
          <w:tcPr>
            <w:tcW w:type="dxa" w:w="238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8/21 10:15</w:t>
            </w:r>
          </w:p>
        </w:tc>
      </w:tr>
      <w:tr>
        <w:trPr>
          <w:trHeight w:val="425" w:hRule="exact"/>
        </w:trPr>
        <w:tc>
          <w:tcPr>
            <w:tcW w:type="dxa" w:w="7370"/>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2. 影響範囲（対象者数と金額）</w:t>
            </w:r>
          </w:p>
        </w:tc>
        <w:tc>
          <w:tcPr>
            <w:tcW w:type="dxa" w:w="238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 名・782,400 円</w:t>
            </w:r>
          </w:p>
        </w:tc>
      </w:tr>
      <w:tr>
        <w:trPr>
          <w:trHeight w:val="425" w:hRule="exact"/>
        </w:trPr>
        <w:tc>
          <w:tcPr>
            <w:tcW w:type="dxa" w:w="7370"/>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3. 復旧日時（返金の確認時刻）</w:t>
            </w:r>
          </w:p>
        </w:tc>
        <w:tc>
          <w:tcPr>
            <w:tcW w:type="dxa" w:w="238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8/22 15:30</w:t>
            </w:r>
          </w:p>
        </w:tc>
      </w:tr>
      <w:tr>
        <w:trPr>
          <w:trHeight w:val="425" w:hRule="exact"/>
        </w:trPr>
        <w:tc>
          <w:tcPr>
            <w:tcW w:type="dxa" w:w="7370"/>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4. 対応に要した時間</w:t>
            </w:r>
          </w:p>
        </w:tc>
        <w:tc>
          <w:tcPr>
            <w:tcW w:type="dxa" w:w="238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4.5 時間</w:t>
            </w:r>
          </w:p>
        </w:tc>
      </w:tr>
    </w:tbl>
    <w:p>
      <w:pPr>
        <w:spacing w:after="120" w:before="0" w:line="240" w:lineRule="auto"/>
        <w:jc w:val="left"/>
      </w:pPr>
    </w:p>
    <w:p>
      <w:pPr>
        <w:spacing w:after="160" w:before="0" w:line="240" w:lineRule="auto"/>
        <w:jc w:val="right"/>
      </w:pPr>
      <w:r>
        <w:rPr>
          <w:rFonts w:ascii="Yu Gothic" w:hAnsi="Yu Gothic" w:eastAsia="Yu Gothic"/>
          <w:b w:val="0"/>
          <w:color w:val="141414"/>
          <w:sz w:val="20"/>
        </w:rPr>
        <w:t>以上</w:t>
      </w:r>
    </w:p>
    <w:p>
      <w:pPr>
        <w:spacing w:after="20" w:before="0" w:line="240" w:lineRule="auto"/>
        <w:jc w:val="left"/>
        <w:pBdr>
          <w:bottom w:val="single" w:sz="6" w:space="0" w:color="141414"/>
        </w:pBdr>
      </w:pPr>
      <w:r>
        <w:rPr>
          <w:rFonts w:ascii="Yu Gothic" w:hAnsi="Yu Gothic" w:eastAsia="Yu Gothic"/>
          <w:b/>
          <w:color w:val="141414"/>
          <w:sz w:val="17"/>
        </w:rPr>
        <w:t>備考</w:t>
      </w:r>
    </w:p>
    <w:p>
      <w:pPr>
        <w:spacing w:after="0" w:before="0" w:line="240" w:lineRule="auto"/>
        <w:jc w:val="left"/>
      </w:pPr>
      <w:r>
        <w:rPr>
          <w:rFonts w:ascii="Yu Gothic" w:hAnsi="Yu Gothic" w:eastAsia="Yu Gothic"/>
          <w:b w:val="0"/>
          <w:color w:val="5A5A54"/>
          <w:sz w:val="17"/>
        </w:rPr>
        <w:t>銀行とのやり取りの記録は共有フォルダの給与振込記録に保存しています。</w:t>
      </w:r>
    </w:p>
    <w:p>
      <w:pPr>
        <w:spacing w:after="60" w:before="0" w:line="240" w:lineRule="auto"/>
        <w:jc w:val="left"/>
      </w:pPr>
    </w:p>
    <w:p>
      <w:pPr>
        <w:spacing w:after="0" w:before="0" w:line="240" w:lineRule="auto"/>
        <w:jc w:val="left"/>
      </w:pPr>
      <w:r>
        <w:rPr>
          <w:rFonts w:ascii="Yu Gothic" w:hAnsi="Yu Gothic" w:eastAsia="Yu Gothic"/>
          <w:b w:val="0"/>
          <w:color w:val="5A5A54"/>
          <w:sz w:val="16"/>
        </w:rPr>
        <w:t>2026 年版　【テンプレート注記・配布物では削除可】一般的な様式です。提出先・提出期限・懲戒手続との関係は各社の規程に従ってください。原因は個人の不注意ではなく、手順や仕組みの不備として記載します。</w:t>
      </w:r>
    </w:p>
    <w:sectPr w:rsidR="00FC693F" w:rsidRPr="0006063C" w:rsidSect="00034616">
      <w:pgSz w:w="11906" w:h="16838"/>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